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“以经济体制改革为牵引  进一步全面深化改革”</w:t>
      </w:r>
    </w:p>
    <w:p>
      <w:pPr>
        <w:tabs>
          <w:tab w:val="left" w:pos="3233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——党的二十届三中全会精神学习培训班</w:t>
      </w:r>
    </w:p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项目计划书</w:t>
      </w:r>
    </w:p>
    <w:bookmarkEnd w:id="0"/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深入学习贯彻党的二十届三中全会精神，让税务干部在准确理解进一步全面深化改革总体精神的基础上，根据“以经济体制改革为牵引，进一步全面深化改革”的部署，结合税务实际工作，着重以经济视角研习二十届三中全会精神，进而指导税收工作实践。为此，设计实施本培训项目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税务系统各层级税务干部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过培训，系统学习二十届三中全会有关经济领域的各项改革部署，把握深化经济体制改革的核心内涵，掌握经济领域体制机制改革要点，尤其是财税体制改革的方针政策、决策部署，使学员加强对宏观经济政策的理解力、执行力，更好推动税收工作高质量发展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培训时间共10天，</w:t>
      </w:r>
      <w:r>
        <w:rPr>
          <w:rFonts w:hint="eastAsia" w:ascii="仿宋" w:hAnsi="仿宋" w:eastAsia="仿宋" w:cs="仿宋"/>
          <w:sz w:val="28"/>
          <w:szCs w:val="28"/>
        </w:rPr>
        <w:t>其中课程环节８天，非课程环节2天。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542"/>
        <w:gridCol w:w="1224"/>
        <w:gridCol w:w="1273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54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3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42" w:type="dxa"/>
            <w:tcBorders>
              <w:top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224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3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（5天）</w:t>
            </w:r>
          </w:p>
        </w:tc>
        <w:tc>
          <w:tcPr>
            <w:tcW w:w="3542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1.以经济体制改革为牵引 以内生动力推动经济高质量发展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落实数字经济发展部署 持续推进以数治税的大数据建设与应用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3.创新发展——发展新质生产力助力中国式现代化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4.协调发展——区域与城乡融合发展体制机制完善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5.绿色发展——学习二十届三中全会精神为我国生态文明建设贡献税收力量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6.开放发展——完善高水平对外开放体制机制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7.共享发展——健全保障和改善民生制度体系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8.健全宏观经济治理体系——财政与金融改革热点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9.健全宏观经济治理体系——财税体制改革中税制改革热点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10.健全宏观经济治理体系——完善地方税收体系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交流研讨：二十届三中全会精神学习体会——如何学习贯彻二十届三中全会精神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翻转课堂：财税改革的热点问题探讨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542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8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393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2025-01-06T07:13:24Z</dcterms:created>
  <dc:creator>Administrator</dc:creator>
  <cp:lastModifiedBy>Administrator</cp:lastModifiedBy>
  <dcterms:modified xsi:type="dcterms:W3CDTF">2025-01-06T07:13:49Z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